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2023年度预算项目绩效目标公开表</w:t>
      </w: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61"/>
        <w:gridCol w:w="1029"/>
        <w:gridCol w:w="1191"/>
        <w:gridCol w:w="1770"/>
        <w:gridCol w:w="1200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单位代码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年度绩效目标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111002</w:t>
            </w:r>
          </w:p>
        </w:tc>
        <w:tc>
          <w:tcPr>
            <w:tcW w:w="11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广西壮族自治区检察官学院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广西检察官学院残疾人保障金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按规定按时足额缴纳残疾人保障金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111002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广西壮族自治区检察官学院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广西检察官学院编外人员经费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确保全年学院培训保障工作顺利开展，做好后勤工作。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111002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广西壮族自治区检察官学院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广西检察官学院物业管理费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282.89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保障完成2023年广西检察机关教育培训计划；确保检察官学院正常运转，为教学工作提供优质、高效、经济的物业服务。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111002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广西壮族自治区检察官学院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广西检察官学院运行维护费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保障完成2023年广西检察机关年度教育培训计划，确保检察官学院电信网络、信息设备等能够正常运转，为培训工作提供优质、高效、经济的保障服务。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111002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广西壮族自治区检察官学院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广西检察官学院评审劳务费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通过竞赛，提高全区检察干警的办案业务水平和工作效率。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111002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广西壮族自治区检察官学院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广西检察官学院培训费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699.14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通过培训，提高全区检察干警的办案业务水平和工作效率。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3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1219.03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ZGVmY2EyYThlNjYxNGY3ZjUwMGYxMGFjZjgwNzUifQ=="/>
  </w:docVars>
  <w:rsids>
    <w:rsidRoot w:val="00000000"/>
    <w:rsid w:val="09596486"/>
    <w:rsid w:val="151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488</Characters>
  <Lines>0</Lines>
  <Paragraphs>0</Paragraphs>
  <TotalTime>69</TotalTime>
  <ScaleCrop>false</ScaleCrop>
  <LinksUpToDate>false</LinksUpToDate>
  <CharactersWithSpaces>488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2023-02-07T02:55:25Z</dcterms:created>
  <dc:creator>Administrator</dc:creator>
  <cp:lastModifiedBy>Camille小蚕</cp:lastModifiedBy>
  <dcterms:modified xsi:type="dcterms:W3CDTF">2023-02-07T09:14:31Z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AA6FA43A7E944131B666C23BBA237AA8</vt:lpwstr>
  </property>
</Properties>
</file>